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59E111" w14:textId="77777777" w:rsidR="00433A25" w:rsidRDefault="00433A25" w:rsidP="00433A25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Cs/>
          <w:i/>
        </w:rPr>
        <w:t>Załącznik nr 1.5 do Zarządzenia Rektora UR  nr 12/2019</w:t>
      </w:r>
    </w:p>
    <w:p w14:paraId="201C4675" w14:textId="77777777" w:rsidR="00433A25" w:rsidRDefault="00433A25" w:rsidP="00433A25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14:paraId="77C7C4F3" w14:textId="0FA285E4" w:rsidR="00433A25" w:rsidRDefault="00433A25" w:rsidP="00433A25">
      <w:pPr>
        <w:spacing w:after="0" w:line="240" w:lineRule="exact"/>
        <w:jc w:val="center"/>
        <w:rPr>
          <w:rFonts w:ascii="Corbel" w:hAnsi="Corbel" w:cs="Corbel"/>
          <w:i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 xml:space="preserve">dotyczy cyklu kształcenia </w:t>
      </w:r>
      <w:r w:rsidR="00DC685F">
        <w:rPr>
          <w:rFonts w:ascii="Corbel" w:hAnsi="Corbel" w:cs="Corbel"/>
          <w:i/>
          <w:smallCaps/>
          <w:sz w:val="24"/>
          <w:szCs w:val="24"/>
        </w:rPr>
        <w:t>2020</w:t>
      </w:r>
      <w:r>
        <w:rPr>
          <w:rFonts w:ascii="Corbel" w:hAnsi="Corbel" w:cs="Corbel"/>
          <w:i/>
          <w:smallCaps/>
          <w:sz w:val="24"/>
          <w:szCs w:val="24"/>
        </w:rPr>
        <w:t>– 202</w:t>
      </w:r>
      <w:r w:rsidR="00DC685F">
        <w:rPr>
          <w:rFonts w:ascii="Corbel" w:hAnsi="Corbel" w:cs="Corbel"/>
          <w:i/>
          <w:smallCaps/>
          <w:sz w:val="24"/>
          <w:szCs w:val="24"/>
        </w:rPr>
        <w:t>3</w:t>
      </w:r>
    </w:p>
    <w:p w14:paraId="45DBA54C" w14:textId="382B96C6" w:rsidR="00433A25" w:rsidRDefault="00433A25" w:rsidP="00433A25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 w:cs="Corbel"/>
          <w:i/>
          <w:sz w:val="20"/>
          <w:szCs w:val="20"/>
        </w:rPr>
        <w:t>(skrajne daty</w:t>
      </w:r>
      <w:r>
        <w:rPr>
          <w:rFonts w:ascii="Corbel" w:hAnsi="Corbel" w:cs="Corbel"/>
          <w:sz w:val="20"/>
          <w:szCs w:val="20"/>
        </w:rPr>
        <w:t>)</w:t>
      </w:r>
      <w:r w:rsidR="00A00CA0">
        <w:rPr>
          <w:rFonts w:ascii="Corbel" w:hAnsi="Corbel" w:cs="Corbel"/>
          <w:sz w:val="20"/>
          <w:szCs w:val="20"/>
        </w:rPr>
        <w:t xml:space="preserve"> </w:t>
      </w:r>
    </w:p>
    <w:p w14:paraId="16613ABD" w14:textId="35938DB5" w:rsidR="00433A25" w:rsidRDefault="00DC685F" w:rsidP="00433A25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  <w:t>Rok akademicki   2020/2021</w:t>
      </w:r>
    </w:p>
    <w:p w14:paraId="2B172E3E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3355C23D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693"/>
        <w:gridCol w:w="7097"/>
      </w:tblGrid>
      <w:tr w:rsidR="00433A25" w14:paraId="1A1D4634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95D19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5781A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Biomedyczne podstawy rozwoju  i wychowania</w:t>
            </w:r>
          </w:p>
        </w:tc>
      </w:tr>
      <w:tr w:rsidR="00433A25" w14:paraId="322489DF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AFAA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FAB1E" w14:textId="77777777" w:rsidR="00433A25" w:rsidRDefault="00433A25" w:rsidP="000F320D">
            <w:pPr>
              <w:pStyle w:val="Odpowiedzi"/>
              <w:snapToGrid w:val="0"/>
              <w:spacing w:before="100" w:after="100"/>
              <w:rPr>
                <w:rFonts w:ascii="Corbel" w:hAnsi="Corbel" w:cs="Corbel"/>
                <w:b w:val="0"/>
                <w:sz w:val="24"/>
                <w:szCs w:val="24"/>
              </w:rPr>
            </w:pPr>
          </w:p>
        </w:tc>
      </w:tr>
      <w:tr w:rsidR="00433A25" w14:paraId="795A0B5C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A0009" w14:textId="77777777" w:rsidR="00433A25" w:rsidRDefault="00433A25" w:rsidP="000F320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032CF" w14:textId="1AA56339" w:rsidR="00433A25" w:rsidRDefault="00433A25" w:rsidP="00D17467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433A25" w14:paraId="5D7DCEF3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2B24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EDA69" w14:textId="77777777" w:rsidR="00433A25" w:rsidRPr="003D3ECD" w:rsidRDefault="00433A25" w:rsidP="000F320D">
            <w:pPr>
              <w:pStyle w:val="Odpowiedzi"/>
              <w:spacing w:before="100" w:after="10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3EC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Instytut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B</w:t>
            </w:r>
            <w:r w:rsidRPr="003D3ECD">
              <w:rPr>
                <w:rFonts w:ascii="Corbel" w:hAnsi="Corbel"/>
                <w:b w:val="0"/>
                <w:bCs/>
                <w:sz w:val="24"/>
                <w:szCs w:val="24"/>
              </w:rPr>
              <w:t>iotechnologii</w:t>
            </w:r>
          </w:p>
        </w:tc>
      </w:tr>
      <w:tr w:rsidR="00433A25" w14:paraId="454C2661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93431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41591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Pedagogika</w:t>
            </w:r>
          </w:p>
        </w:tc>
      </w:tr>
      <w:tr w:rsidR="00433A25" w14:paraId="6C0E1E38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934C0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9779B" w14:textId="15E5BC87" w:rsidR="00433A25" w:rsidRDefault="0010177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tudia I stopnia</w:t>
            </w:r>
          </w:p>
        </w:tc>
      </w:tr>
      <w:tr w:rsidR="00433A25" w14:paraId="3D01EB58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A2AE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DB2D2" w14:textId="723F08B3" w:rsidR="00433A25" w:rsidRDefault="0010177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gólnoakademicki</w:t>
            </w:r>
          </w:p>
        </w:tc>
      </w:tr>
      <w:tr w:rsidR="00433A25" w14:paraId="0C9DC2D4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E6CA2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A3846" w14:textId="6A0258B6" w:rsidR="00433A25" w:rsidRDefault="0010177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tudia stacjonarne</w:t>
            </w:r>
          </w:p>
        </w:tc>
      </w:tr>
      <w:tr w:rsidR="00433A25" w14:paraId="54DC54DE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7F9F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E1084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1 rok, I semestr</w:t>
            </w:r>
          </w:p>
        </w:tc>
      </w:tr>
      <w:tr w:rsidR="00433A25" w14:paraId="0CA21E4D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0BC57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61A77" w14:textId="68F289F0" w:rsidR="00433A25" w:rsidRDefault="00D93C82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kierunkowy</w:t>
            </w:r>
          </w:p>
        </w:tc>
      </w:tr>
      <w:tr w:rsidR="00433A25" w14:paraId="5EFC5973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125FF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B800E" w14:textId="6936E722" w:rsidR="00433A25" w:rsidRDefault="00D93C82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olski</w:t>
            </w:r>
          </w:p>
        </w:tc>
      </w:tr>
      <w:tr w:rsidR="00433A25" w14:paraId="5EE11D49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06BBE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21F22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Dr hab. prof. UR Waldemar Grzegorzewski</w:t>
            </w:r>
          </w:p>
        </w:tc>
      </w:tr>
      <w:tr w:rsidR="00433A25" w14:paraId="296C9D07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D73B9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D8A39" w14:textId="5F580527" w:rsidR="00433A25" w:rsidRDefault="00433A25" w:rsidP="000F320D">
            <w:pPr>
              <w:pStyle w:val="Odpowiedzi"/>
              <w:spacing w:before="100" w:after="100"/>
            </w:pPr>
          </w:p>
        </w:tc>
      </w:tr>
    </w:tbl>
    <w:p w14:paraId="46D0D3BC" w14:textId="77777777" w:rsidR="00433A25" w:rsidRDefault="00433A25" w:rsidP="00433A25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5457A3FE" w14:textId="77777777" w:rsidR="00433A25" w:rsidRDefault="00433A25" w:rsidP="00433A25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13B392A" w14:textId="77777777" w:rsidR="00433A25" w:rsidRDefault="00433A25" w:rsidP="00433A25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180CDDB2" w14:textId="77777777" w:rsidR="00433A25" w:rsidRDefault="00433A25" w:rsidP="00433A25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58"/>
      </w:tblGrid>
      <w:tr w:rsidR="00433A25" w14:paraId="2305B6BA" w14:textId="77777777" w:rsidTr="000F320D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1BC8C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17CB1A4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B0FD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ACDD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6C5A9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9AC1A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C34C3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411C71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D01B4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72A63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1E332" w14:textId="77777777" w:rsidR="00433A25" w:rsidRDefault="00433A25" w:rsidP="000F320D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433A25" w14:paraId="6D04D6B3" w14:textId="77777777" w:rsidTr="000F320D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FD4F0" w14:textId="77777777" w:rsidR="00433A25" w:rsidRDefault="00433A25" w:rsidP="000F320D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8CD17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08CED" w14:textId="77777777" w:rsidR="00433A25" w:rsidRDefault="00433A25" w:rsidP="000F320D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B21F6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2A73E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6DD4C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49C67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0F58F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93622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E7F42" w14:textId="77777777" w:rsidR="00433A25" w:rsidRDefault="00433A25" w:rsidP="000F320D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DAD750E" w14:textId="77777777" w:rsidR="00433A25" w:rsidRDefault="00433A25" w:rsidP="00433A25">
      <w:pPr>
        <w:pStyle w:val="Podpunkty"/>
        <w:ind w:left="0"/>
        <w:rPr>
          <w:rFonts w:ascii="Corbel" w:hAnsi="Corbel" w:cs="Corbel"/>
          <w:b w:val="0"/>
          <w:sz w:val="24"/>
          <w:szCs w:val="24"/>
        </w:rPr>
      </w:pPr>
    </w:p>
    <w:p w14:paraId="327086CF" w14:textId="77777777" w:rsidR="00433A25" w:rsidRDefault="00433A25" w:rsidP="00433A25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21F07C42" w14:textId="77777777" w:rsidR="00433A25" w:rsidRDefault="00433A25" w:rsidP="00433A25">
      <w:pPr>
        <w:pStyle w:val="Punktygwne"/>
        <w:tabs>
          <w:tab w:val="left" w:pos="709"/>
        </w:tabs>
        <w:spacing w:before="0" w:after="0"/>
        <w:ind w:left="284"/>
        <w:rPr>
          <w:rFonts w:ascii="MS Gothic" w:eastAsia="MS Gothic" w:hAnsi="MS Gothic" w:cs="MS Gothic"/>
          <w:b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21DBA747" w14:textId="77777777" w:rsidR="00433A25" w:rsidRDefault="00433A25" w:rsidP="00433A25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14:paraId="02AD0439" w14:textId="77777777" w:rsidR="00433A25" w:rsidRDefault="00433A25" w:rsidP="00433A25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879F60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67FA0735" w14:textId="77777777" w:rsidR="00433A25" w:rsidRDefault="00433A25" w:rsidP="00433A2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color w:val="00000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7DF36B38" w14:textId="77777777" w:rsidR="00433A25" w:rsidRDefault="00433A25" w:rsidP="00433A25">
      <w:pPr>
        <w:pStyle w:val="Punktygwne"/>
        <w:spacing w:before="40" w:after="40"/>
        <w:rPr>
          <w:rFonts w:ascii="Corbel" w:hAnsi="Corbel" w:cs="Corbel"/>
          <w:b w:val="0"/>
          <w:szCs w:val="24"/>
        </w:rPr>
      </w:pPr>
      <w:r>
        <w:rPr>
          <w:rFonts w:ascii="Corbel" w:hAnsi="Corbel" w:cs="Corbel"/>
          <w:b w:val="0"/>
          <w:smallCaps w:val="0"/>
          <w:color w:val="000000"/>
          <w:szCs w:val="24"/>
        </w:rPr>
        <w:lastRenderedPageBreak/>
        <w:t xml:space="preserve">               Zaliczenie z oceną</w:t>
      </w:r>
    </w:p>
    <w:p w14:paraId="7E6543EB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0DEB82E3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  <w:r>
        <w:rPr>
          <w:rFonts w:ascii="Corbel" w:hAnsi="Corbel" w:cs="Corbel"/>
          <w:szCs w:val="24"/>
        </w:rPr>
        <w:t xml:space="preserve">2.Wymagania wstępne </w:t>
      </w: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433A25" w14:paraId="37D15E38" w14:textId="77777777" w:rsidTr="000F320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90354" w14:textId="77777777" w:rsidR="00433A25" w:rsidRDefault="00433A25" w:rsidP="000F320D">
            <w:pPr>
              <w:pStyle w:val="Punktygwne"/>
              <w:spacing w:before="40" w:after="4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podstawowych zagadnień z genetyki, cytologii, histologii, anatomii i fizjologii człowieka na poziomie szkoły ponadpodstawowej.</w:t>
            </w:r>
          </w:p>
        </w:tc>
      </w:tr>
    </w:tbl>
    <w:p w14:paraId="761866B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129EC5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605CF90F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69CB8F69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41499C9D" w14:textId="77777777" w:rsidR="00433A25" w:rsidRDefault="00433A25" w:rsidP="00433A25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w14:paraId="400A1B56" w14:textId="77777777" w:rsidR="00433A25" w:rsidRDefault="00433A25" w:rsidP="00433A25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849"/>
        <w:gridCol w:w="8830"/>
      </w:tblGrid>
      <w:tr w:rsidR="00433A25" w14:paraId="0996F31D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78616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FDDA6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Zaznajomienie studentów z problematyką przedmiotu, z aspektami rozwoju oraz wpływem czynników endogennych i egzogennych na rozwój i zdrowie człowieka.</w:t>
            </w:r>
          </w:p>
        </w:tc>
      </w:tr>
      <w:tr w:rsidR="00433A25" w14:paraId="12492802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94FC9" w14:textId="77777777" w:rsidR="00433A25" w:rsidRDefault="00433A25" w:rsidP="000F320D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6D153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Wyjaśnienie problematyki trendu sekularnego.</w:t>
            </w:r>
          </w:p>
        </w:tc>
      </w:tr>
      <w:tr w:rsidR="00433A25" w14:paraId="0C4D1603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099D0" w14:textId="77777777" w:rsidR="00433A25" w:rsidRDefault="00433A25" w:rsidP="000F320D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9862C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Dokonanie charakterystyki okresów rozwojowych człowieka.</w:t>
            </w:r>
          </w:p>
        </w:tc>
      </w:tr>
      <w:tr w:rsidR="00433A25" w14:paraId="4367A829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22445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620DD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pojęciem normy w ocenie rozwoju oraz metodami kontroli rozwoju biologicznego.</w:t>
            </w:r>
          </w:p>
        </w:tc>
      </w:tr>
      <w:tr w:rsidR="00433A25" w14:paraId="3A373FB1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AAF99E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229B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Przekazanie wiedzy o rozwoju, prawidłowościach i zaburzeniach morfologii i funkcjonowania organizmu człowieka w ontogenezie.</w:t>
            </w:r>
          </w:p>
        </w:tc>
      </w:tr>
      <w:tr w:rsidR="00433A25" w14:paraId="5BCFD4B3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349A8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DA27F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Zapoznanie studentów z rozwojem psychomotorycznym człowieka i jego znaczeniem. </w:t>
            </w:r>
          </w:p>
        </w:tc>
      </w:tr>
      <w:tr w:rsidR="00433A25" w14:paraId="53849A65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FCCD0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13616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Omówienie wpływu żywienia na zdrowie człowieka oraz metod oceny stanu odżywienia.</w:t>
            </w:r>
          </w:p>
        </w:tc>
      </w:tr>
      <w:tr w:rsidR="00433A25" w14:paraId="757936A1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3FB92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6D292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Ukazanie podstawowych problemów związanych z seksualnością człowieka.</w:t>
            </w:r>
          </w:p>
        </w:tc>
      </w:tr>
      <w:tr w:rsidR="00433A25" w14:paraId="3B066C65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1A79D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C9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805E0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Prezentacja najważniejszych zagadnień związanych z problematyką zdrowotną człowieka.</w:t>
            </w:r>
          </w:p>
        </w:tc>
      </w:tr>
    </w:tbl>
    <w:p w14:paraId="007928A6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4319267F" w14:textId="77777777" w:rsidR="00433A25" w:rsidRDefault="00433A25" w:rsidP="00433A25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36E6A6D6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9680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885"/>
      </w:tblGrid>
      <w:tr w:rsidR="00433A25" w14:paraId="7FACDBCD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B36BC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632CC8" w14:textId="77777777" w:rsidR="0034191A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628F9FB7" w14:textId="62D35A20" w:rsidR="00433A25" w:rsidRDefault="0034191A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Student:</w:t>
            </w:r>
            <w:r w:rsidR="00433A25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F0C04" w14:textId="77777777" w:rsidR="00433A25" w:rsidRDefault="00433A25" w:rsidP="000F320D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</w:rPr>
              <w:footnoteReference w:id="1"/>
            </w:r>
          </w:p>
        </w:tc>
      </w:tr>
      <w:tr w:rsidR="00433A25" w14:paraId="268EE705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94C5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1C194" w14:textId="77777777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Opisze biologiczne i medyczne podstawy rozwoju i funkcjonowania człowieka w ontogenezie.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C11CC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K_W05</w:t>
            </w:r>
          </w:p>
          <w:p w14:paraId="3BE3A071" w14:textId="77777777" w:rsidR="00433A25" w:rsidRDefault="00433A25" w:rsidP="000F320D">
            <w:pPr>
              <w:pStyle w:val="Punktygwne"/>
              <w:spacing w:before="0" w:after="0"/>
            </w:pPr>
          </w:p>
        </w:tc>
      </w:tr>
      <w:tr w:rsidR="00433A25" w14:paraId="637F249D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167BB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564A0" w14:textId="77777777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Opisze różnice indywidualne w rozwoju w funkcjonowaniu człowieka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212FD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K_W09</w:t>
            </w:r>
          </w:p>
        </w:tc>
      </w:tr>
      <w:tr w:rsidR="00433A25" w14:paraId="749D2ADE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C776D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E42A7" w14:textId="77777777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Zinterpretuje własne działania, wskaże obszary wymagające zmian oraz podejmie działania na rzecz własnego rozwoju i rozwoju innych uczestników procesów pedagogicznych.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FC108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K_U08</w:t>
            </w:r>
          </w:p>
        </w:tc>
      </w:tr>
      <w:tr w:rsidR="00382D6A" w14:paraId="6182450E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2741E" w14:textId="77777777" w:rsidR="00382D6A" w:rsidRDefault="00382D6A" w:rsidP="00382D6A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D8B46" w14:textId="138F055C" w:rsidR="00382D6A" w:rsidRDefault="00382D6A" w:rsidP="00382D6A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 xml:space="preserve">Dokona analizy swojej wiedzy biomedycznej oraz wykaże się  potrzebą ciągłego dokształcania i doskonalenia </w:t>
            </w:r>
            <w:r>
              <w:rPr>
                <w:rFonts w:ascii="Corbel" w:hAnsi="Corbel" w:cs="Corbel"/>
                <w:color w:val="00000A"/>
              </w:rPr>
              <w:lastRenderedPageBreak/>
              <w:t>zawodowego.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4D73D" w14:textId="77777777" w:rsidR="00382D6A" w:rsidRDefault="00382D6A" w:rsidP="00382D6A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>K_U08</w:t>
            </w:r>
          </w:p>
        </w:tc>
      </w:tr>
      <w:tr w:rsidR="00382D6A" w14:paraId="7054B4DE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01AB4" w14:textId="77777777" w:rsidR="00382D6A" w:rsidRDefault="00382D6A" w:rsidP="00382D6A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D4574" w14:textId="77777777" w:rsidR="00382D6A" w:rsidRDefault="00382D6A" w:rsidP="00382D6A">
            <w:pPr>
              <w:spacing w:after="0" w:line="100" w:lineRule="atLeast"/>
              <w:jc w:val="both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Określi rolę wiedzy na temat rozwoju i funkcjonowania człowieka w ontogenezie oraz edukacji zdrowotnej i możliwości jej wykorzystania w działaniach zawodowych.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E59B7" w14:textId="77777777" w:rsidR="00382D6A" w:rsidRDefault="00382D6A" w:rsidP="00382D6A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K_K02</w:t>
            </w:r>
          </w:p>
        </w:tc>
      </w:tr>
      <w:tr w:rsidR="00382D6A" w14:paraId="65AD453B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B9E5B" w14:textId="77777777" w:rsidR="00382D6A" w:rsidRDefault="00382D6A" w:rsidP="00382D6A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7170C" w14:textId="77777777" w:rsidR="00382D6A" w:rsidRDefault="00382D6A" w:rsidP="00382D6A">
            <w:pPr>
              <w:spacing w:after="0" w:line="100" w:lineRule="atLeast"/>
              <w:jc w:val="both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Wykaże się  odpowiedzialnością za zachowanie zdrowego trybu życia swojego i innych osób, odpowiedzialnie przygotuje się do edukacji zdrowotnej.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C094A" w14:textId="77777777" w:rsidR="00382D6A" w:rsidRDefault="00382D6A" w:rsidP="00382D6A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K_K02</w:t>
            </w:r>
          </w:p>
        </w:tc>
      </w:tr>
    </w:tbl>
    <w:p w14:paraId="4345D11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873EF7E" w14:textId="77777777" w:rsidR="00433A25" w:rsidRDefault="00433A25" w:rsidP="00433A25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42B7AA30" w14:textId="77777777" w:rsidR="00433A25" w:rsidRDefault="00433A25" w:rsidP="00433A25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w14:paraId="1B08BF1E" w14:textId="77777777" w:rsidR="00433A25" w:rsidRDefault="00433A25" w:rsidP="00433A25">
      <w:pPr>
        <w:pStyle w:val="Akapitzlist1"/>
        <w:spacing w:after="120" w:line="100" w:lineRule="atLeast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433A25" w14:paraId="3047F749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8A6E8" w14:textId="77777777" w:rsidR="00433A25" w:rsidRDefault="00433A25" w:rsidP="000F320D">
            <w:pPr>
              <w:pStyle w:val="Akapitzlist1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433A25" w14:paraId="4CBC75E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67FAA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433A25" w14:paraId="5209E6F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4BE6A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433A25" w14:paraId="55E11E49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F42C3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3853C27E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00592BCD" w14:textId="77777777" w:rsidR="00433A25" w:rsidRDefault="00433A25" w:rsidP="00433A25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77F20AA5" w14:textId="77777777" w:rsidR="00433A25" w:rsidRDefault="00433A25" w:rsidP="00433A25">
      <w:pPr>
        <w:pStyle w:val="Akapitzlist1"/>
        <w:spacing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433A25" w14:paraId="6627F37D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F5E78" w14:textId="77777777" w:rsidR="00433A25" w:rsidRDefault="00433A25" w:rsidP="000F320D">
            <w:pPr>
              <w:pStyle w:val="Akapitzlist1"/>
              <w:spacing w:after="0" w:line="100" w:lineRule="atLeast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433A25" w14:paraId="2983119E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4F0B5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1. Definicja i aspekty rozwoju biologicznego człowieka.</w:t>
            </w:r>
          </w:p>
        </w:tc>
      </w:tr>
      <w:tr w:rsidR="00433A25" w14:paraId="6BE91034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7A74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2. Czynniki endogenne genetyczne,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paragenetyczne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i niegenetyczne wpływające na rozwój człowieka. Wybrane zagadnienia z zakresu genetyki. Przykłady chorób genetycznych.</w:t>
            </w:r>
          </w:p>
        </w:tc>
      </w:tr>
      <w:tr w:rsidR="00433A25" w14:paraId="401835B7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F8AAE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3. Czynniki środowiskowe wpływające na rozwój człowieka. Trend sekularny.</w:t>
            </w:r>
          </w:p>
        </w:tc>
      </w:tr>
      <w:tr w:rsidR="00433A25" w14:paraId="2D7566AA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D174A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4. Charakterystyka okresów rozwojowych człowieka ze szczególnym uwzględnieniem okresu prenatalnego i progresywnego.</w:t>
            </w:r>
          </w:p>
        </w:tc>
      </w:tr>
      <w:tr w:rsidR="00433A25" w14:paraId="1E5BCD96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F0578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5. Kryteria oceny wieku rozwojowego. Norma rozwojowa. Metody kontroli procesów wzrastania.</w:t>
            </w:r>
          </w:p>
        </w:tc>
      </w:tr>
      <w:tr w:rsidR="00433A25" w14:paraId="4147B06B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EAB5A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6. Układ kostno-stawowy – budowa, rozwój i funkcje tkanki kostnej. Osteologia. Wybrane stawy.</w:t>
            </w:r>
          </w:p>
        </w:tc>
      </w:tr>
      <w:tr w:rsidR="00433A25" w14:paraId="3C09A630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47D02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7. Układ mięśniowy – budowa, rozwój i funkcje tkanki mięśniowej. Podział i ogólna topografia mięśni. Fizjologia układu.</w:t>
            </w:r>
          </w:p>
        </w:tc>
      </w:tr>
      <w:tr w:rsidR="00433A25" w14:paraId="0611E244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394B7D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8. Proces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posturogenezy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. Postawa ciała. Wady i metody oceny postawy ciała. Rozwój psychomotoryczny. Wpływ aktywności ruchowej na rozwój fizyczny człowieka.</w:t>
            </w:r>
          </w:p>
        </w:tc>
      </w:tr>
      <w:tr w:rsidR="00433A25" w14:paraId="6CB6CCAD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21F4BC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9. Układ pokarmowy – budowa, rozwój i funkcjonowanie. Wpływ żywienia na rozwój i stan zdrowia. Metody oceny stanu odżywienia. Konstytucja i somatotyp.</w:t>
            </w:r>
          </w:p>
        </w:tc>
      </w:tr>
      <w:tr w:rsidR="00433A25" w14:paraId="40C5A906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D6F6C5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10. Układ oddechowy, krwionośny, limfatyczny, wydalniczy – budowa, rozwój, fizjologia. Wybrane choroby związane z układami.</w:t>
            </w:r>
          </w:p>
        </w:tc>
      </w:tr>
      <w:tr w:rsidR="00433A25" w14:paraId="5BB38945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F233A0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11. Układ nerwowy – budowa, rozwój i funkcje ośrodkowego i obwodowego układu nerwowego. Budowa i rodzaje komórek nerwowych.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Przekaźnictwo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synaptyczne. Przykłady chorób związanych z układem.</w:t>
            </w:r>
          </w:p>
        </w:tc>
      </w:tr>
      <w:tr w:rsidR="00433A25" w14:paraId="2716D41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A5F78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12. Układ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endokrynny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– gruczoły wydzielania wewnętrznego, hormony i ich wpływ na funkcjonowanie ustroju. Hormonalne sterowanie rozwojem. Przykłady chorób związanych z układem.</w:t>
            </w:r>
          </w:p>
        </w:tc>
      </w:tr>
      <w:tr w:rsidR="00433A25" w14:paraId="2D4F2D98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D401A0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13. Układ rozrodczy – budowa, rozwój i funkcjonowanie. Dymorfizm płciowy. Zdrowie prokreacyjne i seksualne. </w:t>
            </w:r>
          </w:p>
        </w:tc>
      </w:tr>
      <w:tr w:rsidR="00433A25" w14:paraId="5910BCBA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94EB3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14. Układ immunologiczny – budowa i funkcje. Rozwój odporności.</w:t>
            </w:r>
          </w:p>
        </w:tc>
      </w:tr>
      <w:tr w:rsidR="00433A25" w14:paraId="12C8CDC0" w14:textId="77777777" w:rsidTr="000F320D">
        <w:trPr>
          <w:trHeight w:val="273"/>
        </w:trPr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250F4C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15. Istota zdrowia i choroby. Uwarunkowania zdrowia. Problematyka zdrowotna poszczególnych okresów rozwojowych, zwłaszcza dzieci i młodzieży. Profilaktyka chorób, opieka zdrowotna i promocja zdrowia.</w:t>
            </w:r>
          </w:p>
        </w:tc>
      </w:tr>
    </w:tbl>
    <w:p w14:paraId="3C89EB08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120A7929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36D6D8E9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1D2EE42" w14:textId="77777777" w:rsidR="00433A25" w:rsidRPr="00382D6A" w:rsidRDefault="00433A25" w:rsidP="00433A25">
      <w:pPr>
        <w:pStyle w:val="Punktygwne"/>
        <w:spacing w:before="0" w:after="0"/>
        <w:jc w:val="both"/>
        <w:rPr>
          <w:rFonts w:ascii="Corbel" w:hAnsi="Corbel" w:cs="Corbel"/>
          <w:bCs/>
          <w:smallCaps w:val="0"/>
          <w:szCs w:val="24"/>
        </w:rPr>
      </w:pPr>
      <w:r w:rsidRPr="00382D6A">
        <w:rPr>
          <w:rFonts w:ascii="Corbel" w:hAnsi="Corbel" w:cs="Corbel"/>
          <w:bCs/>
          <w:smallCaps w:val="0"/>
          <w:szCs w:val="24"/>
        </w:rPr>
        <w:t xml:space="preserve">Ćwiczenia audytoryjne: prezentacja multimedialna, dyskusja, analiza tekstów z dyskusją, </w:t>
      </w:r>
      <w:r w:rsidRPr="00382D6A">
        <w:rPr>
          <w:rFonts w:ascii="Corbel" w:hAnsi="Corbel" w:cs="Corbel"/>
          <w:bCs/>
          <w:i/>
          <w:smallCaps w:val="0"/>
          <w:szCs w:val="24"/>
        </w:rPr>
        <w:t>praca w grupach (rozwiązywanie zadań, dyskusja)</w:t>
      </w:r>
    </w:p>
    <w:p w14:paraId="140B0883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0652355B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1AD58B2C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0D48E9C9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3D6C7B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6C7787D1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1984"/>
        <w:gridCol w:w="5528"/>
        <w:gridCol w:w="2137"/>
      </w:tblGrid>
      <w:tr w:rsidR="00433A25" w14:paraId="359C8EDE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254A9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6BB6D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7A10AE1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B421D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942D5A" w14:textId="77777777" w:rsidR="00433A25" w:rsidRDefault="00433A25" w:rsidP="000F320D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w:rsidR="00433A25" w14:paraId="3390EFA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1A4D4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D2C1C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prezentacja multimedialna, analiza tekstu z dyskusją,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218DF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791A61B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71FA1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53947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3582B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3110775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4235F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D9E4B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prezentacja multimedialna,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E9895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47CDD3F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F8ED6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78B19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01261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79DC1369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9F54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2E435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98911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3B3F719F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192DE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BFB89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D62AD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</w:tbl>
    <w:p w14:paraId="0BF6B463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1272E25B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5C626CDD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433A25" w14:paraId="23C0267E" w14:textId="77777777" w:rsidTr="000F320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72FC7" w14:textId="77777777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 (pytania otwarte i zamknięte): adekwatność odpowiedzi względem pytania, stopień wyczerpania zagadnienia, poprawność merytoryczna</w:t>
            </w:r>
          </w:p>
          <w:p w14:paraId="13F0C8CD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- ocena dostateczna: jeśli student uzyska 51% pkt. </w:t>
            </w:r>
          </w:p>
          <w:p w14:paraId="17541C58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 ocena dobra: jeśli student uzyska 75% pkt.</w:t>
            </w:r>
          </w:p>
          <w:p w14:paraId="10D01478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 ocena bardzo dobra: jeśli student uzyska 90% pkt.</w:t>
            </w:r>
          </w:p>
          <w:p w14:paraId="19ADF16C" w14:textId="0BDBAEFD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Prezentacja multimedialna (przygotowana w niewielkiej grupie i wygłoszona na zajęciach): adekwatność względem tematu, stopień wyczerpania zagadnienia, poprawność merytoryczna, wykorzystanie źródeł.</w:t>
            </w:r>
          </w:p>
          <w:p w14:paraId="41138E0E" w14:textId="77777777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263D966A" w14:textId="77777777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Ocena końcowa stanowi średnią z ocen z kolokwiów oraz za przygotowane i wygłoszenie referatu w postaci prezentacji multimedialnej.</w:t>
            </w:r>
          </w:p>
        </w:tc>
      </w:tr>
    </w:tbl>
    <w:p w14:paraId="1D917C47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15974B9" w14:textId="77777777" w:rsidR="00433A25" w:rsidRDefault="00433A25" w:rsidP="00433A25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FDFE19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4961"/>
        <w:gridCol w:w="4687"/>
      </w:tblGrid>
      <w:tr w:rsidR="00433A25" w14:paraId="1B098BE6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ECFA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0F30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33A25" w14:paraId="7358ACF2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8BD5C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 w:cs="Corbel"/>
                <w:sz w:val="24"/>
                <w:szCs w:val="24"/>
              </w:rPr>
              <w:t xml:space="preserve"> studiów 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56535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433A25" w14:paraId="07B684F9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FA226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 akademickiego</w:t>
            </w:r>
          </w:p>
          <w:p w14:paraId="232C4461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7F608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</w:tr>
      <w:tr w:rsidR="00433A25" w14:paraId="301C1038" w14:textId="77777777" w:rsidTr="00A75CF9">
        <w:trPr>
          <w:trHeight w:val="1666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805E0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</w:p>
          <w:p w14:paraId="57A9C5E0" w14:textId="129E7833" w:rsidR="00381EE1" w:rsidRDefault="00381EE1" w:rsidP="00381EE1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Przygotowanie do zajęć</w:t>
            </w:r>
          </w:p>
          <w:p w14:paraId="271904E8" w14:textId="129E7833" w:rsidR="00381EE1" w:rsidRDefault="00381EE1" w:rsidP="00381EE1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Przygotowanie prezentacji multimedialnej </w:t>
            </w:r>
          </w:p>
          <w:p w14:paraId="498A0EF0" w14:textId="77777777" w:rsidR="00381EE1" w:rsidRDefault="00381EE1" w:rsidP="00381EE1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</w:p>
          <w:p w14:paraId="05DE0CA8" w14:textId="326C3200" w:rsidR="00381EE1" w:rsidRDefault="00381EE1" w:rsidP="00381EE1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Przygotowanie do kolokwiów</w:t>
            </w:r>
          </w:p>
          <w:p w14:paraId="34A60571" w14:textId="19A16E5D" w:rsidR="00433A25" w:rsidRDefault="00433A25" w:rsidP="00381EE1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7CAAE" w14:textId="72374741" w:rsidR="00381EE1" w:rsidRDefault="00381EE1" w:rsidP="00381EE1"/>
          <w:p w14:paraId="4796ADCA" w14:textId="77777777" w:rsidR="00381EE1" w:rsidRDefault="00381EE1" w:rsidP="00381EE1">
            <w:pPr>
              <w:tabs>
                <w:tab w:val="left" w:pos="1470"/>
              </w:tabs>
              <w:jc w:val="center"/>
            </w:pPr>
            <w:r>
              <w:t>10</w:t>
            </w:r>
          </w:p>
          <w:p w14:paraId="13BBF548" w14:textId="77777777" w:rsidR="00381EE1" w:rsidRDefault="00381EE1" w:rsidP="00381EE1">
            <w:pPr>
              <w:tabs>
                <w:tab w:val="left" w:pos="1470"/>
              </w:tabs>
              <w:jc w:val="center"/>
            </w:pPr>
            <w:r>
              <w:t>9</w:t>
            </w:r>
          </w:p>
          <w:p w14:paraId="4DB584D8" w14:textId="77777777" w:rsidR="00381EE1" w:rsidRPr="00381EE1" w:rsidRDefault="00381EE1" w:rsidP="00381EE1">
            <w:pPr>
              <w:tabs>
                <w:tab w:val="left" w:pos="1470"/>
              </w:tabs>
              <w:jc w:val="center"/>
            </w:pPr>
            <w:r>
              <w:t>10</w:t>
            </w:r>
          </w:p>
        </w:tc>
      </w:tr>
      <w:tr w:rsidR="00433A25" w14:paraId="550078E9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705DE" w14:textId="3E08EF31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8E11B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</w:tr>
      <w:tr w:rsidR="00433A25" w14:paraId="280997E7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B7404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E6A1D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131549B2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B8DDC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921B46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14:paraId="1D1380DB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3543"/>
        <w:gridCol w:w="3979"/>
      </w:tblGrid>
      <w:tr w:rsidR="00433A25" w14:paraId="34675465" w14:textId="77777777" w:rsidTr="000F320D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3218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94ACB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33A25" w14:paraId="3E49F4AD" w14:textId="77777777" w:rsidTr="000F320D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D69E6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49A23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</w:t>
            </w:r>
          </w:p>
        </w:tc>
      </w:tr>
    </w:tbl>
    <w:p w14:paraId="363C6106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562E44B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7DDCE52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433A25" w14:paraId="7DFA072B" w14:textId="77777777" w:rsidTr="000F320D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066E2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Literatura podstawowa:</w:t>
            </w:r>
          </w:p>
          <w:p w14:paraId="0D87B1DD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29BF22E2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1. Aleksandrowicz R.,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Mały atlas anatomiczny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PZWL, Warszawa 1996.</w:t>
            </w:r>
          </w:p>
          <w:p w14:paraId="24AA0967" w14:textId="70CD595C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2. Doleżych B., Łaszczyca P.,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rozwoju z elementami higieny szkolnej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Wyd. Adam Marszałek, Toruń 2010.</w:t>
            </w:r>
          </w:p>
          <w:p w14:paraId="2A376AF8" w14:textId="10EA0E71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3. Jaczewski A. (red.),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Biologiczne i medyczne podstawy rozwoju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Wydawnictwo Akademickie „Żak”, Warszawa 2001.</w:t>
            </w:r>
          </w:p>
          <w:p w14:paraId="2B0F6890" w14:textId="35D1D6F5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4. Jopkiewicz A., Suliga E.,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rozwoju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Wyd. Instytut Technologii Eksploatacji, Radom-Kielce</w:t>
            </w:r>
            <w:r w:rsidR="00382D6A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2008.</w:t>
            </w:r>
          </w:p>
          <w:p w14:paraId="092B2632" w14:textId="4E304D58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5. Malinowski A.,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Auksologia, Rozwój biologiczny człowieka w ujęciu biomedycznym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Wyd. UZ, Zielona Góra 2004. </w:t>
            </w:r>
          </w:p>
          <w:p w14:paraId="57650363" w14:textId="2E1408BB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5.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Mięsowicz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I. (red.),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Auksologia. Rozwój osobniczy człowieka i metody jego oceny od narodzin do dorosłości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WAPS, Warszawa 2001.</w:t>
            </w:r>
          </w:p>
          <w:p w14:paraId="593FC1C8" w14:textId="519FA6A7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6.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Woynarowska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B., Kowalewska A., Izdebski Z., Komosińska K.,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kształcenia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2010.</w:t>
            </w:r>
          </w:p>
        </w:tc>
      </w:tr>
      <w:tr w:rsidR="00433A25" w14:paraId="2AFE8B24" w14:textId="77777777" w:rsidTr="000F320D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203F0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8E1031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7B0FE0F8" w14:textId="614524DB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1. Gołąb B.,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Podstawy anatomii człowieka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PZWL, Warszawa 2000.</w:t>
            </w:r>
          </w:p>
          <w:p w14:paraId="2B367AA3" w14:textId="74C941C3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2. Kaczmarek M., Wolański N.,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Rozwój biologiczny człowieka od poczęcia do śmierci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2018.</w:t>
            </w:r>
          </w:p>
          <w:p w14:paraId="640B9275" w14:textId="67ECC1A9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3. Wolański N.,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Rozwój biologiczny człowieka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2005.</w:t>
            </w:r>
          </w:p>
        </w:tc>
      </w:tr>
    </w:tbl>
    <w:p w14:paraId="022CA87E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06489709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29D6DCA9" w14:textId="77777777" w:rsidR="00433A25" w:rsidRDefault="00433A25" w:rsidP="00433A25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p w14:paraId="5A70866E" w14:textId="77777777" w:rsidR="00021D4D" w:rsidRDefault="00FF5C2E"/>
    <w:sectPr w:rsidR="00021D4D">
      <w:pgSz w:w="11906" w:h="16838"/>
      <w:pgMar w:top="1134" w:right="1134" w:bottom="1134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698B51" w14:textId="77777777" w:rsidR="00FF5C2E" w:rsidRDefault="00FF5C2E" w:rsidP="00433A25">
      <w:pPr>
        <w:spacing w:after="0" w:line="240" w:lineRule="auto"/>
      </w:pPr>
      <w:r>
        <w:separator/>
      </w:r>
    </w:p>
  </w:endnote>
  <w:endnote w:type="continuationSeparator" w:id="0">
    <w:p w14:paraId="366717B0" w14:textId="77777777" w:rsidR="00FF5C2E" w:rsidRDefault="00FF5C2E" w:rsidP="00433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09B56C" w14:textId="77777777" w:rsidR="00FF5C2E" w:rsidRDefault="00FF5C2E" w:rsidP="00433A25">
      <w:pPr>
        <w:spacing w:after="0" w:line="240" w:lineRule="auto"/>
      </w:pPr>
      <w:r>
        <w:separator/>
      </w:r>
    </w:p>
  </w:footnote>
  <w:footnote w:type="continuationSeparator" w:id="0">
    <w:p w14:paraId="0BF631D3" w14:textId="77777777" w:rsidR="00FF5C2E" w:rsidRDefault="00FF5C2E" w:rsidP="00433A25">
      <w:pPr>
        <w:spacing w:after="0" w:line="240" w:lineRule="auto"/>
      </w:pPr>
      <w:r>
        <w:continuationSeparator/>
      </w:r>
    </w:p>
  </w:footnote>
  <w:footnote w:id="1">
    <w:p w14:paraId="32DC0632" w14:textId="77777777" w:rsidR="00433A25" w:rsidRDefault="00433A25" w:rsidP="00433A25">
      <w:r>
        <w:rPr>
          <w:rStyle w:val="Znakiprzypiswdolnych"/>
          <w:rFonts w:ascii="Times New Roman" w:hAnsi="Times New Roman"/>
        </w:rPr>
        <w:footnoteRef/>
      </w:r>
    </w:p>
    <w:p w14:paraId="3DE66958" w14:textId="77777777" w:rsidR="00433A25" w:rsidRDefault="00433A25" w:rsidP="00433A25">
      <w:pPr>
        <w:pStyle w:val="Tekstprzypisudolnego1"/>
        <w:pageBreakBefore/>
      </w:pPr>
      <w:r>
        <w:rPr>
          <w:rStyle w:val="Odwoanieprzypisudolnego1"/>
        </w:rPr>
        <w:tab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34C"/>
    <w:rsid w:val="00074905"/>
    <w:rsid w:val="00101775"/>
    <w:rsid w:val="001A3017"/>
    <w:rsid w:val="0024666B"/>
    <w:rsid w:val="002648C8"/>
    <w:rsid w:val="00337633"/>
    <w:rsid w:val="0034191A"/>
    <w:rsid w:val="00381EE1"/>
    <w:rsid w:val="00382D6A"/>
    <w:rsid w:val="00433A25"/>
    <w:rsid w:val="007F7C6D"/>
    <w:rsid w:val="009405B0"/>
    <w:rsid w:val="00A00CA0"/>
    <w:rsid w:val="00A75CF9"/>
    <w:rsid w:val="00AD080D"/>
    <w:rsid w:val="00B85B59"/>
    <w:rsid w:val="00C30F96"/>
    <w:rsid w:val="00C9721C"/>
    <w:rsid w:val="00CC79CA"/>
    <w:rsid w:val="00D17467"/>
    <w:rsid w:val="00D93C82"/>
    <w:rsid w:val="00DC685F"/>
    <w:rsid w:val="00DC72E7"/>
    <w:rsid w:val="00E019CC"/>
    <w:rsid w:val="00E1634C"/>
    <w:rsid w:val="00F321C1"/>
    <w:rsid w:val="00F36D30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5D2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3A25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433A25"/>
    <w:rPr>
      <w:vertAlign w:val="superscript"/>
    </w:rPr>
  </w:style>
  <w:style w:type="character" w:customStyle="1" w:styleId="Znakiprzypiswdolnych">
    <w:name w:val="Znaki przypisów dolnych"/>
    <w:rsid w:val="00433A25"/>
  </w:style>
  <w:style w:type="character" w:styleId="Odwoanieprzypisudolnego">
    <w:name w:val="footnote reference"/>
    <w:rsid w:val="00433A25"/>
    <w:rPr>
      <w:vertAlign w:val="superscript"/>
    </w:rPr>
  </w:style>
  <w:style w:type="paragraph" w:customStyle="1" w:styleId="Akapitzlist1">
    <w:name w:val="Akapit z listą1"/>
    <w:basedOn w:val="Normalny"/>
    <w:rsid w:val="00433A25"/>
    <w:pPr>
      <w:ind w:left="720"/>
    </w:pPr>
  </w:style>
  <w:style w:type="paragraph" w:customStyle="1" w:styleId="Default">
    <w:name w:val="Default"/>
    <w:rsid w:val="00433A25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rsid w:val="00433A25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rsid w:val="00433A25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33A25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rsid w:val="00433A25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3A25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rsid w:val="00433A25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sid w:val="00433A2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33A25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rsid w:val="00433A2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3A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3A25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CF9"/>
    <w:rPr>
      <w:rFonts w:ascii="Segoe UI" w:eastAsia="Calibri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3A25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433A25"/>
    <w:rPr>
      <w:vertAlign w:val="superscript"/>
    </w:rPr>
  </w:style>
  <w:style w:type="character" w:customStyle="1" w:styleId="Znakiprzypiswdolnych">
    <w:name w:val="Znaki przypisów dolnych"/>
    <w:rsid w:val="00433A25"/>
  </w:style>
  <w:style w:type="character" w:styleId="Odwoanieprzypisudolnego">
    <w:name w:val="footnote reference"/>
    <w:rsid w:val="00433A25"/>
    <w:rPr>
      <w:vertAlign w:val="superscript"/>
    </w:rPr>
  </w:style>
  <w:style w:type="paragraph" w:customStyle="1" w:styleId="Akapitzlist1">
    <w:name w:val="Akapit z listą1"/>
    <w:basedOn w:val="Normalny"/>
    <w:rsid w:val="00433A25"/>
    <w:pPr>
      <w:ind w:left="720"/>
    </w:pPr>
  </w:style>
  <w:style w:type="paragraph" w:customStyle="1" w:styleId="Default">
    <w:name w:val="Default"/>
    <w:rsid w:val="00433A25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rsid w:val="00433A25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rsid w:val="00433A25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33A25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rsid w:val="00433A25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3A25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rsid w:val="00433A25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sid w:val="00433A2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33A25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rsid w:val="00433A2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3A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3A25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CF9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4EACA-BE16-42A4-9C96-600DA992C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1257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11</cp:revision>
  <cp:lastPrinted>2020-10-13T08:06:00Z</cp:lastPrinted>
  <dcterms:created xsi:type="dcterms:W3CDTF">2019-11-23T12:50:00Z</dcterms:created>
  <dcterms:modified xsi:type="dcterms:W3CDTF">2021-10-01T09:45:00Z</dcterms:modified>
</cp:coreProperties>
</file>